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83123" w:rsidRPr="00832AD7" w:rsidRDefault="00983123" w:rsidP="006E5A1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0</w:t>
      </w:r>
      <w:r w:rsidR="006E5A17">
        <w:rPr>
          <w:rFonts w:ascii="Times New Roman" w:eastAsia="Times New Roman" w:hAnsi="Times New Roman" w:cs="David" w:hint="cs"/>
          <w:sz w:val="16"/>
          <w:szCs w:val="16"/>
          <w:rtl/>
        </w:rPr>
        <w:t>8</w:t>
      </w:r>
      <w:r w:rsidRPr="00832AD7">
        <w:rPr>
          <w:rFonts w:ascii="Times New Roman" w:eastAsia="Times New Roman" w:hAnsi="Times New Roman" w:cs="David" w:hint="cs"/>
          <w:sz w:val="16"/>
          <w:szCs w:val="16"/>
          <w:rtl/>
        </w:rPr>
        <w:t xml:space="preserve"> באוקטובר 2024</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006E5A17">
        <w:rPr>
          <w:rFonts w:ascii="Times New Roman" w:eastAsia="Times New Roman" w:hAnsi="Times New Roman" w:cs="David" w:hint="cs"/>
          <w:sz w:val="16"/>
          <w:szCs w:val="16"/>
          <w:rtl/>
        </w:rPr>
        <w:t>ו</w:t>
      </w:r>
      <w:r w:rsidRPr="00832AD7">
        <w:rPr>
          <w:rFonts w:ascii="Times New Roman" w:eastAsia="Times New Roman" w:hAnsi="Times New Roman" w:cs="David" w:hint="cs"/>
          <w:sz w:val="16"/>
          <w:szCs w:val="16"/>
          <w:rtl/>
        </w:rPr>
        <w:t>' בתשרי תשפ"ה</w:t>
      </w:r>
      <w:r w:rsidRPr="00832AD7">
        <w:rPr>
          <w:rFonts w:ascii="Times New Roman" w:eastAsia="Times New Roman" w:hAnsi="Times New Roman" w:cs="David" w:hint="cs"/>
          <w:sz w:val="16"/>
          <w:szCs w:val="16"/>
          <w:rtl/>
        </w:rPr>
        <w:fldChar w:fldCharType="end"/>
      </w:r>
    </w:p>
    <w:p w:rsidR="00515986" w:rsidRDefault="00983123" w:rsidP="00F81D10">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4700-1039-2024-007516</w:t>
      </w:r>
      <w:r w:rsidRPr="00832AD7">
        <w:rPr>
          <w:rFonts w:ascii="Times New Roman" w:eastAsia="Times New Roman" w:hAnsi="Times New Roman" w:cs="David" w:hint="cs"/>
          <w:sz w:val="16"/>
          <w:szCs w:val="16"/>
          <w:rtl/>
        </w:rPr>
        <w:fldChar w:fldCharType="end"/>
      </w:r>
    </w:p>
    <w:p w:rsidR="00F81D10" w:rsidRPr="00F81D10" w:rsidRDefault="00F81D10" w:rsidP="00F81D10">
      <w:pPr>
        <w:spacing w:after="0" w:line="240" w:lineRule="auto"/>
        <w:jc w:val="right"/>
        <w:rPr>
          <w:rFonts w:ascii="Times New Roman" w:eastAsia="Times New Roman" w:hAnsi="Times New Roman" w:cs="David"/>
          <w:sz w:val="24"/>
          <w:szCs w:val="24"/>
          <w:rtl/>
        </w:rPr>
      </w:pPr>
    </w:p>
    <w:p w:rsidR="00FA13B0" w:rsidRDefault="00EA6DF3" w:rsidP="00F81D10">
      <w:pPr>
        <w:spacing w:after="120" w:line="360" w:lineRule="auto"/>
        <w:contextualSpacing/>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 xml:space="preserve">תקציר </w:t>
      </w:r>
      <w:r w:rsidRPr="000071E5">
        <w:rPr>
          <w:rFonts w:ascii="FrankRuehl" w:hAnsi="FrankRuehl" w:cs="FrankRuehl" w:hint="cs"/>
          <w:b/>
          <w:bCs/>
          <w:color w:val="002060"/>
          <w:sz w:val="32"/>
          <w:szCs w:val="32"/>
          <w:u w:val="single"/>
          <w:rtl/>
        </w:rPr>
        <w:t>החלטה</w:t>
      </w:r>
      <w:r w:rsidR="00F81D10">
        <w:rPr>
          <w:rFonts w:ascii="FrankRuehl" w:hAnsi="FrankRuehl" w:cs="FrankRuehl" w:hint="cs"/>
          <w:b/>
          <w:bCs/>
          <w:color w:val="002060"/>
          <w:sz w:val="32"/>
          <w:szCs w:val="32"/>
          <w:u w:val="single"/>
          <w:rtl/>
        </w:rPr>
        <w:t xml:space="preserve"> בתיק </w:t>
      </w:r>
      <w:proofErr w:type="spellStart"/>
      <w:r w:rsidR="00FA13B0">
        <w:rPr>
          <w:rFonts w:ascii="FrankRuehl" w:hAnsi="FrankRuehl" w:cs="FrankRuehl" w:hint="cs"/>
          <w:b/>
          <w:bCs/>
          <w:color w:val="002060"/>
          <w:sz w:val="32"/>
          <w:szCs w:val="32"/>
          <w:u w:val="single"/>
          <w:rtl/>
        </w:rPr>
        <w:t>מ"ת</w:t>
      </w:r>
      <w:proofErr w:type="spellEnd"/>
      <w:r w:rsidR="00F81D10">
        <w:rPr>
          <w:rFonts w:ascii="FrankRuehl" w:hAnsi="FrankRuehl" w:cs="FrankRuehl" w:hint="cs"/>
          <w:b/>
          <w:bCs/>
          <w:color w:val="002060"/>
          <w:sz w:val="32"/>
          <w:szCs w:val="32"/>
          <w:u w:val="single"/>
          <w:rtl/>
        </w:rPr>
        <w:t xml:space="preserve"> 52103-09-24 מדינת ישראל נ' </w:t>
      </w:r>
      <w:proofErr w:type="spellStart"/>
      <w:r w:rsidR="00F81D10">
        <w:rPr>
          <w:rFonts w:ascii="FrankRuehl" w:hAnsi="FrankRuehl" w:cs="FrankRuehl" w:hint="cs"/>
          <w:b/>
          <w:bCs/>
          <w:color w:val="002060"/>
          <w:sz w:val="32"/>
          <w:szCs w:val="32"/>
          <w:u w:val="single"/>
          <w:rtl/>
        </w:rPr>
        <w:t>דויטש</w:t>
      </w:r>
      <w:proofErr w:type="spellEnd"/>
      <w:r w:rsidR="00F81D10">
        <w:rPr>
          <w:rFonts w:ascii="FrankRuehl" w:hAnsi="FrankRuehl" w:cs="FrankRuehl" w:hint="cs"/>
          <w:b/>
          <w:bCs/>
          <w:color w:val="002060"/>
          <w:sz w:val="32"/>
          <w:szCs w:val="32"/>
          <w:u w:val="single"/>
          <w:rtl/>
        </w:rPr>
        <w:t xml:space="preserve"> </w:t>
      </w:r>
    </w:p>
    <w:p w:rsidR="00EA6DF3" w:rsidRPr="000071E5" w:rsidRDefault="00385BF4" w:rsidP="00F81D10">
      <w:pPr>
        <w:spacing w:after="120" w:line="360" w:lineRule="auto"/>
        <w:contextualSpacing/>
        <w:jc w:val="center"/>
        <w:rPr>
          <w:rFonts w:ascii="FrankRuehl" w:hAnsi="FrankRuehl" w:cs="FrankRuehl"/>
          <w:b/>
          <w:bCs/>
          <w:color w:val="002060"/>
          <w:sz w:val="32"/>
          <w:szCs w:val="32"/>
          <w:rtl/>
        </w:rPr>
      </w:pPr>
      <w:r>
        <w:rPr>
          <w:rFonts w:ascii="FrankRuehl" w:hAnsi="FrankRuehl" w:cs="FrankRuehl" w:hint="cs"/>
          <w:b/>
          <w:bCs/>
          <w:color w:val="002060"/>
          <w:sz w:val="32"/>
          <w:szCs w:val="32"/>
          <w:u w:val="single"/>
          <w:rtl/>
        </w:rPr>
        <w:t>כבוד השופטת ענת גרינבאו</w:t>
      </w:r>
      <w:r w:rsidR="00F81D10">
        <w:rPr>
          <w:rFonts w:ascii="FrankRuehl" w:hAnsi="FrankRuehl" w:cs="FrankRuehl" w:hint="cs"/>
          <w:b/>
          <w:bCs/>
          <w:color w:val="002060"/>
          <w:sz w:val="32"/>
          <w:szCs w:val="32"/>
          <w:u w:val="single"/>
          <w:rtl/>
        </w:rPr>
        <w:t>ם</w:t>
      </w:r>
      <w:r>
        <w:rPr>
          <w:rFonts w:ascii="FrankRuehl" w:hAnsi="FrankRuehl" w:cs="FrankRuehl" w:hint="cs"/>
          <w:b/>
          <w:bCs/>
          <w:color w:val="002060"/>
          <w:sz w:val="32"/>
          <w:szCs w:val="32"/>
          <w:u w:val="single"/>
          <w:rtl/>
        </w:rPr>
        <w:t>-</w:t>
      </w:r>
      <w:r w:rsidR="00F81D10">
        <w:rPr>
          <w:rFonts w:ascii="FrankRuehl" w:hAnsi="FrankRuehl" w:cs="FrankRuehl" w:hint="cs"/>
          <w:b/>
          <w:bCs/>
          <w:color w:val="002060"/>
          <w:sz w:val="32"/>
          <w:szCs w:val="32"/>
          <w:u w:val="single"/>
          <w:rtl/>
        </w:rPr>
        <w:t>שמעון</w:t>
      </w:r>
    </w:p>
    <w:p w:rsidR="001E7505" w:rsidRDefault="001E7505" w:rsidP="00F81D10">
      <w:pPr>
        <w:spacing w:line="360" w:lineRule="auto"/>
        <w:jc w:val="both"/>
        <w:rPr>
          <w:rFonts w:ascii="David" w:eastAsia="Times New Roman" w:hAnsi="David" w:cs="David"/>
          <w:rtl/>
        </w:rPr>
      </w:pPr>
    </w:p>
    <w:p w:rsidR="00F81D10" w:rsidRPr="00810336" w:rsidRDefault="00F81D10" w:rsidP="00F81D10">
      <w:pPr>
        <w:spacing w:line="360" w:lineRule="auto"/>
        <w:jc w:val="both"/>
        <w:rPr>
          <w:rFonts w:ascii="David" w:eastAsia="Times New Roman" w:hAnsi="David" w:cs="David"/>
        </w:rPr>
      </w:pPr>
      <w:r w:rsidRPr="00810336">
        <w:rPr>
          <w:rFonts w:ascii="David" w:eastAsia="Times New Roman" w:hAnsi="David" w:cs="David"/>
          <w:rtl/>
        </w:rPr>
        <w:t>בפני בקשה להארכת תנאים מגבילים עד תום ההליכים המשפטיים בהתאם להוראת סעיף 21 לחוק סדר הדין הפלילי (סמכויות אכיפה –מעצרים), התשנ"ו-1996.</w:t>
      </w:r>
    </w:p>
    <w:p w:rsidR="00F81D10" w:rsidRPr="00810336" w:rsidRDefault="00F81D10" w:rsidP="00F81D10">
      <w:pPr>
        <w:spacing w:line="360" w:lineRule="auto"/>
        <w:jc w:val="both"/>
        <w:rPr>
          <w:rFonts w:ascii="David" w:eastAsia="Times New Roman" w:hAnsi="David" w:cs="David"/>
          <w:rtl/>
        </w:rPr>
      </w:pPr>
      <w:r w:rsidRPr="00810336">
        <w:rPr>
          <w:rFonts w:ascii="David" w:eastAsia="Times New Roman" w:hAnsi="David" w:cs="David"/>
          <w:rtl/>
        </w:rPr>
        <w:t>נגד המשיבה הוגש כתב אישום יחד עם בקשה להארכת תנאים מגבילים עד תום ההליכים המשפטיים וביניהם תנאי של "הרחקה מכל התקהלות או הפגנה"</w:t>
      </w:r>
      <w:r w:rsidR="00385BF4">
        <w:rPr>
          <w:rFonts w:ascii="David" w:eastAsia="Times New Roman" w:hAnsi="David" w:cs="David" w:hint="cs"/>
          <w:rtl/>
        </w:rPr>
        <w:t>.</w:t>
      </w:r>
    </w:p>
    <w:p w:rsidR="00385BF4" w:rsidRDefault="00385BF4" w:rsidP="00385BF4">
      <w:pPr>
        <w:spacing w:after="0" w:line="360" w:lineRule="auto"/>
        <w:jc w:val="both"/>
        <w:rPr>
          <w:rFonts w:ascii="David" w:hAnsi="David" w:cs="David"/>
          <w:sz w:val="24"/>
          <w:szCs w:val="24"/>
          <w:rtl/>
        </w:rPr>
      </w:pPr>
      <w:r w:rsidRPr="00A90E9E">
        <w:rPr>
          <w:rFonts w:ascii="David" w:hAnsi="David" w:cs="David"/>
          <w:sz w:val="24"/>
          <w:szCs w:val="24"/>
          <w:rtl/>
        </w:rPr>
        <w:t xml:space="preserve">כתב </w:t>
      </w:r>
      <w:r>
        <w:rPr>
          <w:rFonts w:ascii="David" w:hAnsi="David" w:cs="David" w:hint="cs"/>
          <w:sz w:val="24"/>
          <w:szCs w:val="24"/>
          <w:rtl/>
        </w:rPr>
        <w:t>ה</w:t>
      </w:r>
      <w:r w:rsidRPr="00A90E9E">
        <w:rPr>
          <w:rFonts w:ascii="David" w:hAnsi="David" w:cs="David"/>
          <w:sz w:val="24"/>
          <w:szCs w:val="24"/>
          <w:rtl/>
        </w:rPr>
        <w:t xml:space="preserve">אישום אוחז 3 </w:t>
      </w:r>
      <w:proofErr w:type="spellStart"/>
      <w:r w:rsidRPr="00A90E9E">
        <w:rPr>
          <w:rFonts w:ascii="David" w:hAnsi="David" w:cs="David"/>
          <w:sz w:val="24"/>
          <w:szCs w:val="24"/>
          <w:rtl/>
        </w:rPr>
        <w:t>אישומים</w:t>
      </w:r>
      <w:proofErr w:type="spellEnd"/>
      <w:r w:rsidRPr="00A90E9E">
        <w:rPr>
          <w:rFonts w:ascii="David" w:hAnsi="David" w:cs="David"/>
          <w:sz w:val="24"/>
          <w:szCs w:val="24"/>
          <w:rtl/>
        </w:rPr>
        <w:t xml:space="preserve"> ומייחס ל</w:t>
      </w:r>
      <w:r>
        <w:rPr>
          <w:rFonts w:ascii="David" w:hAnsi="David" w:cs="David" w:hint="cs"/>
          <w:sz w:val="24"/>
          <w:szCs w:val="24"/>
          <w:rtl/>
        </w:rPr>
        <w:t>משיב</w:t>
      </w:r>
      <w:r w:rsidRPr="00A90E9E">
        <w:rPr>
          <w:rFonts w:ascii="David" w:hAnsi="David" w:cs="David"/>
          <w:sz w:val="24"/>
          <w:szCs w:val="24"/>
          <w:rtl/>
        </w:rPr>
        <w:t>ה עבירות של התקהלות אסורה, הפרעה לשוטר בשעת מילוי תפקידו, חסימה או הפרעה בדרך ציבורית והפרת הוראה חוקית.</w:t>
      </w:r>
    </w:p>
    <w:p w:rsidR="00385BF4" w:rsidRDefault="00385BF4" w:rsidP="00385BF4">
      <w:pPr>
        <w:spacing w:after="0" w:line="360" w:lineRule="auto"/>
        <w:jc w:val="both"/>
        <w:rPr>
          <w:rFonts w:ascii="David" w:hAnsi="David" w:cs="David"/>
          <w:sz w:val="24"/>
          <w:szCs w:val="24"/>
          <w:rtl/>
        </w:rPr>
      </w:pPr>
    </w:p>
    <w:p w:rsidR="00F81D10" w:rsidRPr="00385BF4" w:rsidRDefault="00F81D10" w:rsidP="00385BF4">
      <w:pPr>
        <w:spacing w:after="0" w:line="360" w:lineRule="auto"/>
        <w:jc w:val="both"/>
        <w:rPr>
          <w:rFonts w:ascii="David" w:hAnsi="David" w:cs="David"/>
          <w:sz w:val="24"/>
          <w:szCs w:val="24"/>
          <w:rtl/>
        </w:rPr>
      </w:pPr>
      <w:r w:rsidRPr="00810336">
        <w:rPr>
          <w:rFonts w:ascii="David" w:eastAsia="Times New Roman" w:hAnsi="David" w:cs="David"/>
          <w:rtl/>
        </w:rPr>
        <w:t>על פי עובדות האישום הראשון, ביום 7.7.24 השתתפה המשיבה בהפגנה בלתי חוקית, צעדה על פסי הרכבת כשהיא חוסמת בגופה את תנועת הרכבות במקום, זאת גם לאחר הכרזת המשטרה כי ההפגנה אינה חוקית, תוך שהיא מפריעה לשוטרים לפנות את הציר.</w:t>
      </w:r>
    </w:p>
    <w:p w:rsidR="00F81D10" w:rsidRPr="00810336" w:rsidRDefault="00F81D10" w:rsidP="00F81D10">
      <w:pPr>
        <w:spacing w:line="360" w:lineRule="auto"/>
        <w:jc w:val="both"/>
        <w:rPr>
          <w:rFonts w:ascii="David" w:eastAsia="Times New Roman" w:hAnsi="David" w:cs="David"/>
          <w:rtl/>
        </w:rPr>
      </w:pPr>
      <w:r w:rsidRPr="00810336">
        <w:rPr>
          <w:rFonts w:ascii="David" w:eastAsia="Times New Roman" w:hAnsi="David" w:cs="David"/>
          <w:rtl/>
        </w:rPr>
        <w:t>על פי עובדות האישום השני, ביום 1.9.24 השתתפה המשיבה בהפגנת מחאה נוספת, בלתי חוקית, התיישבה על הכביש וחסמה את התנועה, תוך שהיא קוראת קריאות בתוך המגפון מתעלמת מהכרזת השוטרים על ההפגנה כבלתי חוקית, לא נענית לקריאותיהם להתפנות מהכביש ומפריעה לשוטרים לפנות את ציר התנועה.</w:t>
      </w:r>
    </w:p>
    <w:p w:rsidR="00F81D10" w:rsidRPr="00810336" w:rsidRDefault="00F81D10" w:rsidP="00F81D10">
      <w:pPr>
        <w:spacing w:line="360" w:lineRule="auto"/>
        <w:jc w:val="both"/>
        <w:rPr>
          <w:rFonts w:ascii="David" w:eastAsia="Times New Roman" w:hAnsi="David" w:cs="David"/>
          <w:rtl/>
        </w:rPr>
      </w:pPr>
      <w:r w:rsidRPr="00810336">
        <w:rPr>
          <w:rFonts w:ascii="David" w:eastAsia="Times New Roman" w:hAnsi="David" w:cs="David"/>
          <w:rtl/>
        </w:rPr>
        <w:t>על פי עובדות האישום השלישי, ביום 14.9.24 השתתפה המשיבה בהפגנה בכיכר ציון שקיבלה אישור. לאחר שהמפגינים וביניהם המשיבה, החלו בתזוזה בניגוד לתוואי שאושר הוכרזה ההפגנה בלתי חוקית על ידי קצין משטרה במקום. המשיבה ומפגינים נוספים המשיכו לצעוד על הכביש תוך שהם חוסמים את התנועה. שוטר הבהיר לה כי היא מפרה את החלטת בית המשפט והזהיר אותה כי יאלץ לעצור אותה. היא התעלמה מהוראות השוטר וכריזות המשטרה והמשיכה לצעוד על הכביש תוך חסימת הציר, עד שנעצרה בידי שוטרים שהיו במקום.</w:t>
      </w:r>
    </w:p>
    <w:p w:rsidR="00F81D10" w:rsidRPr="00810336" w:rsidRDefault="00F81D10" w:rsidP="00F81D10">
      <w:pPr>
        <w:spacing w:line="360" w:lineRule="auto"/>
        <w:jc w:val="both"/>
        <w:rPr>
          <w:rFonts w:ascii="David" w:eastAsia="Times New Roman" w:hAnsi="David" w:cs="David"/>
          <w:rtl/>
        </w:rPr>
      </w:pPr>
      <w:r w:rsidRPr="00810336">
        <w:rPr>
          <w:rFonts w:ascii="David" w:eastAsia="Times New Roman" w:hAnsi="David" w:cs="David"/>
          <w:rtl/>
        </w:rPr>
        <w:t xml:space="preserve">בית המשפט שמע את טיעוני הצדדים ועיין בראיות וקבע כי קיימות ראיות לכאורה </w:t>
      </w:r>
      <w:proofErr w:type="spellStart"/>
      <w:r w:rsidRPr="00810336">
        <w:rPr>
          <w:rFonts w:ascii="David" w:eastAsia="Times New Roman" w:hAnsi="David" w:cs="David"/>
          <w:rtl/>
        </w:rPr>
        <w:t>לאישומים</w:t>
      </w:r>
      <w:proofErr w:type="spellEnd"/>
      <w:r w:rsidRPr="00810336">
        <w:rPr>
          <w:rFonts w:ascii="David" w:eastAsia="Times New Roman" w:hAnsi="David" w:cs="David"/>
          <w:rtl/>
        </w:rPr>
        <w:t xml:space="preserve"> השני והשלישי ואילו קיימת חולשה של ממש בראיות ביחס לאישום הראשון.</w:t>
      </w:r>
    </w:p>
    <w:p w:rsidR="00F81D10" w:rsidRPr="00810336" w:rsidRDefault="00F81D10" w:rsidP="00F81D10">
      <w:pPr>
        <w:spacing w:line="360" w:lineRule="auto"/>
        <w:jc w:val="both"/>
        <w:rPr>
          <w:rFonts w:ascii="David" w:eastAsia="Times New Roman" w:hAnsi="David" w:cs="David"/>
          <w:rtl/>
        </w:rPr>
      </w:pPr>
      <w:r w:rsidRPr="00810336">
        <w:rPr>
          <w:rFonts w:ascii="David" w:eastAsia="Times New Roman" w:hAnsi="David" w:cs="David"/>
          <w:rtl/>
        </w:rPr>
        <w:t xml:space="preserve">אשר לתנאי המבוקש נקבע כי יש מקום להגביל את חופש הביטוי וזכות ההפגנה רק בנסיבות חריגות וקיצוניות וכאשר קיימת אפשרות קרובה לוודאי לפגיעה ממשית </w:t>
      </w:r>
      <w:proofErr w:type="spellStart"/>
      <w:r w:rsidRPr="00810336">
        <w:rPr>
          <w:rFonts w:ascii="David" w:eastAsia="Times New Roman" w:hAnsi="David" w:cs="David"/>
          <w:rtl/>
        </w:rPr>
        <w:t>בבטחון</w:t>
      </w:r>
      <w:proofErr w:type="spellEnd"/>
      <w:r w:rsidRPr="00810336">
        <w:rPr>
          <w:rFonts w:ascii="David" w:eastAsia="Times New Roman" w:hAnsi="David" w:cs="David"/>
          <w:rtl/>
        </w:rPr>
        <w:t xml:space="preserve"> הציבור ובסדר הציבורי, כי האופן שבו נוסח התנאי המבוקש על ידי המבקשת הוא כוללני, רחב מדי ובלתי ניתן ליישום וכי בנסיבות העניין יש להסתפק בתנאי המגביל השתתפות רק להתקהלויות שהן בלתי חוקיות והפגנות בלתי חוקיות.</w:t>
      </w:r>
    </w:p>
    <w:p w:rsidR="00EA6DF3" w:rsidRDefault="00EA6DF3" w:rsidP="00EA6DF3">
      <w:pPr>
        <w:spacing w:after="120" w:line="360" w:lineRule="auto"/>
        <w:jc w:val="both"/>
        <w:rPr>
          <w:rFonts w:ascii="FrankRuehl" w:hAnsi="FrankRuehl" w:cs="FrankRuehl"/>
          <w:color w:val="323E4F" w:themeColor="text2" w:themeShade="BF"/>
          <w:sz w:val="26"/>
          <w:szCs w:val="26"/>
          <w:rtl/>
        </w:rPr>
      </w:pPr>
    </w:p>
    <w:p w:rsidR="00EA6DF3" w:rsidRDefault="00EA6DF3" w:rsidP="00EA6DF3">
      <w:pPr>
        <w:spacing w:after="120" w:line="360" w:lineRule="auto"/>
        <w:jc w:val="both"/>
        <w:rPr>
          <w:rFonts w:ascii="FrankRuehl" w:hAnsi="FrankRuehl" w:cs="FrankRuehl"/>
          <w:color w:val="323E4F" w:themeColor="text2" w:themeShade="BF"/>
          <w:sz w:val="26"/>
          <w:szCs w:val="26"/>
          <w:rtl/>
        </w:rPr>
      </w:pPr>
    </w:p>
    <w:p w:rsidR="00EA6DF3" w:rsidRPr="000071E5" w:rsidRDefault="00EA6DF3" w:rsidP="00EA6DF3">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001E7505">
        <w:rPr>
          <w:rFonts w:ascii="FrankRuehl" w:hAnsi="FrankRuehl" w:cs="FrankRuehl"/>
          <w:b/>
          <w:bCs/>
          <w:color w:val="002060"/>
          <w:sz w:val="26"/>
          <w:szCs w:val="26"/>
          <w:rtl/>
        </w:rPr>
        <w:t xml:space="preserve">התקציר אינו </w:t>
      </w:r>
      <w:r w:rsidR="001E7505">
        <w:rPr>
          <w:rFonts w:ascii="FrankRuehl" w:hAnsi="FrankRuehl" w:cs="FrankRuehl" w:hint="cs"/>
          <w:b/>
          <w:bCs/>
          <w:color w:val="002060"/>
          <w:sz w:val="26"/>
          <w:szCs w:val="26"/>
          <w:rtl/>
        </w:rPr>
        <w:t>מחליף את ההחלטה</w:t>
      </w:r>
      <w:r w:rsidRPr="000071E5">
        <w:rPr>
          <w:rFonts w:ascii="FrankRuehl" w:hAnsi="FrankRuehl" w:cs="FrankRuehl"/>
          <w:b/>
          <w:bCs/>
          <w:color w:val="002060"/>
          <w:sz w:val="26"/>
          <w:szCs w:val="26"/>
          <w:rtl/>
        </w:rPr>
        <w:t>,</w:t>
      </w:r>
      <w:r w:rsidR="006E5A17">
        <w:rPr>
          <w:rFonts w:ascii="FrankRuehl" w:hAnsi="FrankRuehl" w:cs="FrankRuehl"/>
          <w:b/>
          <w:bCs/>
          <w:color w:val="002060"/>
          <w:sz w:val="26"/>
          <w:szCs w:val="26"/>
          <w:rtl/>
        </w:rPr>
        <w:t xml:space="preserve"> הנוסח המחייב הוא </w:t>
      </w:r>
      <w:r w:rsidR="001E7505">
        <w:rPr>
          <w:rFonts w:ascii="FrankRuehl" w:hAnsi="FrankRuehl" w:cs="FrankRuehl"/>
          <w:b/>
          <w:bCs/>
          <w:color w:val="002060"/>
          <w:sz w:val="26"/>
          <w:szCs w:val="26"/>
          <w:rtl/>
        </w:rPr>
        <w:t xml:space="preserve">של </w:t>
      </w:r>
      <w:r w:rsidR="001E7505">
        <w:rPr>
          <w:rFonts w:ascii="FrankRuehl" w:hAnsi="FrankRuehl" w:cs="FrankRuehl" w:hint="cs"/>
          <w:b/>
          <w:bCs/>
          <w:color w:val="002060"/>
          <w:sz w:val="26"/>
          <w:szCs w:val="26"/>
          <w:rtl/>
        </w:rPr>
        <w:t>ההחלטה</w:t>
      </w:r>
      <w:r w:rsidR="001E7505">
        <w:rPr>
          <w:rFonts w:ascii="FrankRuehl" w:hAnsi="FrankRuehl" w:cs="FrankRuehl"/>
          <w:b/>
          <w:bCs/>
          <w:color w:val="002060"/>
          <w:sz w:val="26"/>
          <w:szCs w:val="26"/>
          <w:rtl/>
        </w:rPr>
        <w:t xml:space="preserve"> </w:t>
      </w:r>
      <w:r w:rsidR="001E7505">
        <w:rPr>
          <w:rFonts w:ascii="FrankRuehl" w:hAnsi="FrankRuehl" w:cs="FrankRuehl" w:hint="cs"/>
          <w:b/>
          <w:bCs/>
          <w:color w:val="002060"/>
          <w:sz w:val="26"/>
          <w:szCs w:val="26"/>
          <w:rtl/>
        </w:rPr>
        <w:t>המלאה</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sectPr w:rsidR="00515986"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3A8" w:rsidRDefault="00B713A8" w:rsidP="00730CA1">
      <w:pPr>
        <w:spacing w:after="0" w:line="240" w:lineRule="auto"/>
      </w:pPr>
      <w:r>
        <w:separator/>
      </w:r>
    </w:p>
  </w:endnote>
  <w:endnote w:type="continuationSeparator" w:id="0">
    <w:p w:rsidR="00B713A8" w:rsidRDefault="00B713A8"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בית משפט העליון | דרך השופט מאיר שמגר 1 | </w:t>
    </w:r>
    <w:proofErr w:type="spellStart"/>
    <w:r w:rsidRPr="003A639C">
      <w:rPr>
        <w:rFonts w:ascii="Times New Roman" w:eastAsia="Times New Roman" w:hAnsi="Times New Roman" w:cs="FrankRuehl" w:hint="cs"/>
        <w:b/>
        <w:bCs/>
        <w:color w:val="000080"/>
        <w:spacing w:val="6"/>
        <w:sz w:val="24"/>
        <w:szCs w:val="24"/>
        <w:rtl/>
      </w:rPr>
      <w:t>קרית</w:t>
    </w:r>
    <w:proofErr w:type="spellEnd"/>
    <w:r w:rsidRPr="003A639C">
      <w:rPr>
        <w:rFonts w:ascii="Times New Roman" w:eastAsia="Times New Roman" w:hAnsi="Times New Roman" w:cs="FrankRuehl" w:hint="cs"/>
        <w:b/>
        <w:bCs/>
        <w:color w:val="000080"/>
        <w:spacing w:val="6"/>
        <w:sz w:val="24"/>
        <w:szCs w:val="24"/>
        <w:rtl/>
      </w:rPr>
      <w:t xml:space="preserve">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3A8" w:rsidRDefault="00B713A8" w:rsidP="00730CA1">
      <w:pPr>
        <w:spacing w:after="0" w:line="240" w:lineRule="auto"/>
      </w:pPr>
      <w:r>
        <w:separator/>
      </w:r>
    </w:p>
  </w:footnote>
  <w:footnote w:type="continuationSeparator" w:id="0">
    <w:p w:rsidR="00B713A8" w:rsidRDefault="00B713A8"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388703" cy="459376"/>
          <wp:effectExtent l="0" t="0" r="0" b="0"/>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724" cy="466492"/>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FA13B0"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4"/>
        <w:szCs w:val="24"/>
        <w:rtl/>
        <w:lang w:eastAsia="he-IL"/>
      </w:rPr>
    </w:pPr>
    <w:r w:rsidRPr="00FA13B0">
      <w:rPr>
        <w:rFonts w:ascii="Times New Roman" w:eastAsia="Times New Roman" w:hAnsi="Times New Roman" w:cs="FrankRuehl" w:hint="cs"/>
        <w:b/>
        <w:bCs/>
        <w:color w:val="000080"/>
        <w:spacing w:val="6"/>
        <w:sz w:val="24"/>
        <w:szCs w:val="24"/>
        <w:rtl/>
        <w:lang w:eastAsia="he-IL"/>
      </w:rPr>
      <w:t>מערכת בתי המשפט</w:t>
    </w:r>
  </w:p>
  <w:p w:rsidR="007007D7" w:rsidRPr="00FA13B0"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4"/>
        <w:szCs w:val="24"/>
        <w:lang w:eastAsia="he-IL"/>
      </w:rPr>
    </w:pPr>
    <w:r w:rsidRPr="00FA13B0">
      <w:rPr>
        <w:rFonts w:ascii="Times New Roman" w:eastAsia="Times New Roman" w:hAnsi="Times New Roman" w:cs="FrankRuehl" w:hint="cs"/>
        <w:b/>
        <w:bCs/>
        <w:color w:val="000080"/>
        <w:spacing w:val="6"/>
        <w:sz w:val="24"/>
        <w:szCs w:val="24"/>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1E7505"/>
    <w:rsid w:val="002453CF"/>
    <w:rsid w:val="002C0E83"/>
    <w:rsid w:val="002C1D50"/>
    <w:rsid w:val="00385BF4"/>
    <w:rsid w:val="003921C3"/>
    <w:rsid w:val="003A639C"/>
    <w:rsid w:val="003C61AF"/>
    <w:rsid w:val="003E6E39"/>
    <w:rsid w:val="003E7EB7"/>
    <w:rsid w:val="00426AA7"/>
    <w:rsid w:val="00515986"/>
    <w:rsid w:val="005253B2"/>
    <w:rsid w:val="00541C9E"/>
    <w:rsid w:val="00631744"/>
    <w:rsid w:val="00690B6F"/>
    <w:rsid w:val="006B7B96"/>
    <w:rsid w:val="006C3B1F"/>
    <w:rsid w:val="006E5A17"/>
    <w:rsid w:val="006F1E1F"/>
    <w:rsid w:val="007007D7"/>
    <w:rsid w:val="00711675"/>
    <w:rsid w:val="00730CA1"/>
    <w:rsid w:val="007B7899"/>
    <w:rsid w:val="00832AD7"/>
    <w:rsid w:val="00891CA5"/>
    <w:rsid w:val="008C02E0"/>
    <w:rsid w:val="00983123"/>
    <w:rsid w:val="009965EC"/>
    <w:rsid w:val="009E5C0E"/>
    <w:rsid w:val="00AD7644"/>
    <w:rsid w:val="00B16422"/>
    <w:rsid w:val="00B22AFC"/>
    <w:rsid w:val="00B713A8"/>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A6DF3"/>
    <w:rsid w:val="00EB6609"/>
    <w:rsid w:val="00F46250"/>
    <w:rsid w:val="00F81D10"/>
    <w:rsid w:val="00FA13B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FB2358C0-C4C4-46C0-BBA0-654E62069229}">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1917</Characters>
  <Application>Microsoft Office Word</Application>
  <DocSecurity>0</DocSecurity>
  <Lines>15</Lines>
  <Paragraphs>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2024-10-08T10:30:00Z</dcterms:created>
  <dcterms:modified xsi:type="dcterms:W3CDTF">2024-10-08T10:30:00Z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07 באוקטובר 2024</vt:lpwstr>
  </property>
  <property fmtid="{D5CDD505-2E9C-101B-9397-08002B2CF9AE}" pid="3" name="DocDateHeb">
    <vt:lpwstr>ה' בתשרי תשפ"ה</vt:lpwstr>
  </property>
  <property fmtid="{D5CDD505-2E9C-101B-9397-08002B2CF9AE}" pid="4" name="DocNumber">
    <vt:lpwstr>4700-1039-2024-007516</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החלטה</vt:lpwstr>
  </property>
</Properties>
</file>